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firstLine="539"/>
        <w:jc w:val="center"/>
        <w:outlineLvl w:val="1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drawing>
          <wp:inline distT="0" distB="0" distL="0" distR="0">
            <wp:extent cx="523240" cy="6273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50" t="-459" r="-550" b="-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7"/>
        <w:gridCol w:w="2900"/>
        <w:gridCol w:w="3402"/>
      </w:tblGrid>
      <w:tr>
        <w:trPr>
          <w:trHeight w:val="1707" w:hRule="exact"/>
          <w:cantSplit w:val="true"/>
        </w:trPr>
        <w:tc>
          <w:tcPr>
            <w:tcW w:w="9889" w:type="dxa"/>
            <w:gridSpan w:val="3"/>
            <w:tcBorders/>
            <w:vAlign w:val="center"/>
          </w:tcPr>
          <w:p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sz w:val="30"/>
                <w:szCs w:val="30"/>
              </w:rPr>
              <w:t>МИНИСТЕРСТВО ТРАНСПОРТА РОССИЙСКОЙ ФЕДЕРАЦИИ</w:t>
            </w:r>
          </w:p>
          <w:p>
            <w:pPr>
              <w:pStyle w:val="Normal"/>
              <w:jc w:val="center"/>
              <w:rPr/>
            </w:pPr>
            <w:r>
              <w:rPr/>
              <w:t>(МИНТРАНС РОССИИ)</w:t>
            </w:r>
          </w:p>
          <w:p>
            <w:pPr>
              <w:pStyle w:val="3"/>
              <w:spacing w:before="24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ФЕДЕРАЛЬНАЯ СЛУЖБА ПО НАДЗОРУ В СФЕРЕ ТРАНСПОРТА</w:t>
            </w:r>
          </w:p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(РОСТРАНСНАДЗОР)</w:t>
            </w:r>
          </w:p>
        </w:tc>
      </w:tr>
      <w:tr>
        <w:trPr>
          <w:trHeight w:val="413" w:hRule="exact"/>
          <w:cantSplit w:val="true"/>
        </w:trPr>
        <w:tc>
          <w:tcPr>
            <w:tcW w:w="9889" w:type="dxa"/>
            <w:gridSpan w:val="3"/>
            <w:tcBorders/>
          </w:tcPr>
          <w:p>
            <w:pPr>
              <w:pStyle w:val="5"/>
              <w:ind w:left="0" w:right="0" w:firstLine="56"/>
              <w:jc w:val="center"/>
              <w:rPr>
                <w:b/>
                <w:b/>
                <w:bCs/>
                <w:spacing w:val="80"/>
                <w:sz w:val="30"/>
                <w:szCs w:val="30"/>
              </w:rPr>
            </w:pPr>
            <w:r>
              <w:rPr>
                <w:b/>
                <w:bCs/>
                <w:spacing w:val="80"/>
                <w:sz w:val="30"/>
                <w:szCs w:val="30"/>
              </w:rPr>
              <w:t>ПРИКАЗ</w:t>
            </w:r>
          </w:p>
        </w:tc>
      </w:tr>
      <w:tr>
        <w:trPr>
          <w:trHeight w:val="348" w:hRule="atLeast"/>
          <w:cantSplit w:val="true"/>
        </w:trPr>
        <w:tc>
          <w:tcPr>
            <w:tcW w:w="3587" w:type="dxa"/>
            <w:tcBorders/>
          </w:tcPr>
          <w:p>
            <w:pPr>
              <w:pStyle w:val="Normal"/>
              <w:spacing w:before="200" w:after="0"/>
              <w:ind w:left="616" w:right="0" w:hanging="0"/>
              <w:jc w:val="center"/>
              <w:rPr/>
            </w:pPr>
            <w:r>
              <w:rPr/>
              <w:t>_____________________</w:t>
            </w:r>
          </w:p>
        </w:tc>
        <w:tc>
          <w:tcPr>
            <w:tcW w:w="2900" w:type="dxa"/>
            <w:tcBorders/>
          </w:tcPr>
          <w:p>
            <w:pPr>
              <w:pStyle w:val="6"/>
              <w:spacing w:before="200" w:after="0"/>
              <w:ind w:left="0" w:right="175" w:hanging="0"/>
              <w:rPr>
                <w:b w:val="false"/>
                <w:b w:val="false"/>
                <w:bCs w:val="false"/>
                <w:szCs w:val="28"/>
              </w:rPr>
            </w:pPr>
            <w:r>
              <w:rPr>
                <w:b w:val="false"/>
                <w:bCs w:val="false"/>
                <w:szCs w:val="28"/>
              </w:rPr>
              <w:t>Москва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200" w:after="0"/>
              <w:ind w:left="0" w:right="616" w:hanging="0"/>
              <w:jc w:val="center"/>
              <w:rPr/>
            </w:pPr>
            <w:r>
              <w:rPr>
                <w:spacing w:val="2"/>
              </w:rPr>
              <w:t>№</w:t>
            </w:r>
            <w:r>
              <w:rPr>
                <w:spacing w:val="2"/>
              </w:rPr>
              <w:t>___________________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согласования плана мероприятий по обеспечению безопасности судоходного и портового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13 Федерального закона от 21 июля 1997 г. </w:t>
        <w:br/>
        <w:t xml:space="preserve">№ 117-ФЗ «О безопасности гидротехнических сооружений» (Собрание законодательства Российской Федерации, 1997, № 30, ст. 3589; 2021, № 24, ст. 4188), пунктом 1 Положения о Федеральной службе по надзору в сфере </w:t>
        <w:br/>
        <w:t xml:space="preserve">транспорта, утвержденного постановлением Правительства Российской Федерации от 30 июля 2004 г. № 398 (Собрание законодательства Российской Федерации, 2004, № 32, ст. 3345; 2021, № 40, ст. 6823), пунктом 5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</w:t>
        <w:br/>
        <w:t xml:space="preserve">отказался, утвержденного постановлением Правительства Российской Федерации </w:t>
        <w:br/>
        <w:t>от 5 октября 2020 г. № 1606 (Собрание законодательства Российской Федерации, 2020, № 41, ст. 6446), п р и к а з ы в а ю:</w:t>
      </w:r>
    </w:p>
    <w:p>
      <w:pPr>
        <w:pStyle w:val="Normal"/>
        <w:spacing w:before="20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согласования плана мероприятий </w:t>
        <w:br/>
        <w:t>по обеспечению безопасности судоходного и портового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действует до 1 января 2027 г.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2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rPr/>
        <w:tc>
          <w:tcPr>
            <w:tcW w:w="5210" w:type="dxa"/>
            <w:tcBorders/>
          </w:tcPr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211" w:type="dxa"/>
            <w:tcBorders/>
          </w:tcPr>
          <w:p>
            <w:pPr>
              <w:pStyle w:val="Normal"/>
              <w:spacing w:before="0" w:after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 Басаргин</w:t>
            </w:r>
          </w:p>
        </w:tc>
      </w:tr>
    </w:tbl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2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0"/>
      </w:tblGrid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СОГЛАСОВАНО</w:t>
            </w:r>
          </w:p>
          <w:p>
            <w:pPr>
              <w:pStyle w:val="Normal"/>
              <w:widowControl w:val="false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письмом МЧС России</w:t>
            </w:r>
          </w:p>
          <w:p>
            <w:pPr>
              <w:pStyle w:val="Normal"/>
              <w:widowControl w:val="false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от 16 ноября 2018 г. № 43-8052-14</w:t>
            </w:r>
          </w:p>
        </w:tc>
        <w:tc>
          <w:tcPr>
            <w:tcW w:w="5210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Ространснадзора</w:t>
            </w:r>
          </w:p>
          <w:tbl>
            <w:tblPr>
              <w:tblW w:w="498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0"/>
              <w:gridCol w:w="2024"/>
              <w:gridCol w:w="502"/>
              <w:gridCol w:w="1978"/>
            </w:tblGrid>
            <w:tr>
              <w:trPr/>
              <w:tc>
                <w:tcPr>
                  <w:tcW w:w="480" w:type="dxa"/>
                  <w:tcBorders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024" w:type="dxa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02" w:type="dxa"/>
                  <w:tcBorders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8" w:type="dxa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  <w:br/>
        <w:t xml:space="preserve">согласования плана мероприятий по обеспечению безопасности </w:t>
        <w:br/>
        <w:t>судоходного и портового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согласования плана мероприятий по обеспечению безопасности судоходного и портового гидротехнического сооружения, которое </w:t>
        <w:br/>
        <w:t>не имеет собственника или собственник которого неизвестен либо от права собственности на которое собственник отказался (далее - Порядок), устанавливает правила согласования Федеральной службой по надзору в сфере транспорта плана мероприятий по обеспечению безопасности судоходного и портового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 (далее - План мероприятий).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План мероприятий разрабатывается для каждого судоходного и портового гидротехнического сооружения (далее - ГТС), которое не имеет собственника </w:t>
        <w:br/>
        <w:t xml:space="preserve">или собственник которого неизвестен либо от права собственности </w:t>
        <w:br/>
        <w:t>на которое собственник отказался, органом исполнительной власти субъекта Российской Федерации в области безопасности ГТС, на территории которого расположено это ГТС, и содержит следующую информацию: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расположения ГТС;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мероприятия по обеспечению безопасности ГТС;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мероприятий;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результат исполнения мероприятий (передача ГТС </w:t>
        <w:br/>
        <w:t>в муниципальную собственность либо его консервация и (или) ликвидация).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 мероприятий разрабатывается и направляется на согласование </w:t>
        <w:br/>
        <w:t xml:space="preserve">в территориальный орган Федеральной службы по надзору в сфере транспорта </w:t>
        <w:br/>
        <w:t xml:space="preserve">в срок не позднее 30 календарных дней после обследования ГТС и не более чем </w:t>
        <w:br/>
        <w:t>в трехмесячный срок со дня выявления ГТС.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План мероприятий направляется на согласование с сопроводительным письмом, подписанным уполномоченным должностным лицом органа исполнительной власти субъекта Российской Федерации в области безопасности ГТС (далее - заявительные документы), в электронном виде или на бумажном носителе.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мероприятий, содержащий информацию ограниченного доступа, представляется в соответствии с законодательством Российской Федерации.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5.</w:t>
      </w:r>
      <w:r>
        <w:rPr/>
        <w:t xml:space="preserve"> </w:t>
      </w:r>
      <w:r>
        <w:rPr>
          <w:sz w:val="28"/>
          <w:szCs w:val="28"/>
        </w:rPr>
        <w:t>Срок рассмотрения заявительных документов составляет 15 календарных дней со дня регистрации в территориальном органе Федеральной службы по надзору сфере транспорта.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 результатам рассмотрения заявительных документов территориальным органом Федеральной службы по надзору сфере транспорта готовится письмо </w:t>
        <w:br/>
        <w:t xml:space="preserve">о согласовании Плана мероприятий либо мотивированном отказе в согласовании </w:t>
        <w:br/>
        <w:t>в случае несоответствия представленных сведений пункту 2 Порядка либо представления таких сведений не в полном объеме.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Письмо о согласовании Плана мероприятий либо об отказе в согласовании направляется в орган исполнительной власти субъекта Российской Федерации </w:t>
        <w:br/>
        <w:t>в области безопасности ГТС в электронном виде или на бумажном носителе.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получении отказа в согласовании Плана мероприятий орган исполнительной власти субъекта Российской Федерации в области безопасности ГТС после устранения причин, указанных в пункте 6 Порядка, повторно направляет План мероприятий на согласование.</w:t>
      </w:r>
    </w:p>
    <w:p>
      <w:pPr>
        <w:pStyle w:val="Normal"/>
        <w:ind w:left="0" w:right="0" w:firstLine="708"/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9. Повторно направленный План мероприятий считается вновь поступившим </w:t>
        <w:br/>
        <w:t>и рассматривается в порядке и сроки, предусмотренные пунктами 5, 6, 7 Порядка.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72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spacing w:before="200" w:after="0"/>
      <w:jc w:val="center"/>
      <w:outlineLvl w:val="5"/>
    </w:pPr>
    <w:rPr>
      <w:b/>
      <w:bCs/>
      <w:sz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 w:customStyle="1">
    <w:name w:val="Подзаголовок Знак"/>
    <w:basedOn w:val="DefaultParagraphFont"/>
    <w:uiPriority w:val="11"/>
    <w:qFormat/>
    <w:rsid w:val="00db728e"/>
    <w:rPr>
      <w:rFonts w:eastAsia="" w:eastAsiaTheme="minorEastAsia"/>
      <w:color w:val="5A5A5A" w:themeColor="text1" w:themeTint="a5"/>
      <w:spacing w:val="15"/>
      <w:lang w:eastAsia="ru-RU"/>
    </w:rPr>
  </w:style>
  <w:style w:type="character" w:styleId="Style12" w:customStyle="1">
    <w:name w:val="Текст сноски Знак"/>
    <w:basedOn w:val="DefaultParagraphFont"/>
    <w:uiPriority w:val="99"/>
    <w:qFormat/>
    <w:rsid w:val="00851c54"/>
    <w:rPr>
      <w:rFonts w:ascii="Calibri" w:hAnsi="Calibri" w:eastAsia="Calibri" w:cs="Times New Roman"/>
      <w:sz w:val="20"/>
      <w:szCs w:val="20"/>
    </w:rPr>
  </w:style>
  <w:style w:type="character" w:styleId="Style13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851c54"/>
    <w:rPr>
      <w:vertAlign w:val="superscript"/>
    </w:rPr>
  </w:style>
  <w:style w:type="character" w:styleId="Style14">
    <w:name w:val="Hyperlink"/>
    <w:basedOn w:val="DefaultParagraphFont"/>
    <w:uiPriority w:val="99"/>
    <w:unhideWhenUsed/>
    <w:rsid w:val="008c3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c3497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Subtitle"/>
    <w:basedOn w:val="Normal"/>
    <w:next w:val="Normal"/>
    <w:link w:val="Style11"/>
    <w:uiPriority w:val="11"/>
    <w:qFormat/>
    <w:rsid w:val="00db728e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Style21">
    <w:name w:val="Footnote Text"/>
    <w:basedOn w:val="Normal"/>
    <w:link w:val="Style12"/>
    <w:uiPriority w:val="99"/>
    <w:unhideWhenUsed/>
    <w:rsid w:val="00851c54"/>
    <w:pPr/>
    <w:rPr>
      <w:rFonts w:ascii="Calibri" w:hAnsi="Calibri" w:eastAsia="Calibr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LibreOffice/7.4.2.3$Windows_X86_64 LibreOffice_project/382eef1f22670f7f4118c8c2dd222ec7ad009daf</Application>
  <AppVersion>15.0000</AppVersion>
  <Pages>3</Pages>
  <Words>665</Words>
  <Characters>4685</Characters>
  <CharactersWithSpaces>5331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2022-11-08T12:20:00Z</dcterms:created>
  <dc:creator>Чаплинская София Сергеевна</dc:creator>
  <dc:description/>
  <dc:language>ru-RU</dc:language>
  <cp:lastModifiedBy/>
  <dcterms:modified xsi:type="dcterms:W3CDTF">2023-03-13T10:53:56Z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