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103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</w:r>
    </w:p>
    <w:p>
      <w:pPr>
        <w:tabs>
          <w:tab w:val="left" w:pos="3885" w:leader="none"/>
        </w:tabs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</w:r>
      <w:r>
        <w:rPr>
          <w:b/>
          <w:color w:val="auto"/>
          <w:szCs w:val="28"/>
        </w:rPr>
      </w:r>
    </w:p>
    <w:p>
      <w:pPr>
        <w:tabs>
          <w:tab w:val="left" w:pos="3885" w:leader="none"/>
        </w:tabs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О проведении конкурса </w:t>
      </w:r>
      <w:r>
        <w:rPr>
          <w:b/>
          <w:color w:val="auto"/>
          <w:szCs w:val="28"/>
        </w:rPr>
        <w:t xml:space="preserve">на заключение договора о целевом обучении между Федеральной службой по надзору</w:t>
      </w:r>
      <w:r>
        <w:rPr>
          <w:b/>
          <w:color w:val="auto"/>
          <w:szCs w:val="28"/>
        </w:rPr>
        <w:t xml:space="preserve"> в сфере транспорта и гражданином Российской Федерации с обязательством последующего прохождения федеральной государственной гражданской службы</w:t>
      </w:r>
      <w:r>
        <w:rPr>
          <w:b/>
          <w:color w:val="auto"/>
          <w:szCs w:val="28"/>
        </w:rPr>
      </w:r>
    </w:p>
    <w:p>
      <w:pPr>
        <w:shd w:val="clear" w:color="auto" w:fill="ffffff"/>
        <w:jc w:val="center"/>
        <w:outlineLvl w:val="0"/>
        <w:rPr>
          <w:b/>
          <w:color w:val="auto"/>
          <w:szCs w:val="28"/>
        </w:rPr>
      </w:pPr>
      <w:r>
        <w:rPr>
          <w:b/>
          <w:color w:val="auto"/>
          <w:szCs w:val="28"/>
        </w:rPr>
      </w:r>
      <w:r>
        <w:rPr>
          <w:b/>
          <w:color w:val="auto"/>
          <w:szCs w:val="28"/>
        </w:rPr>
      </w:r>
    </w:p>
    <w:p>
      <w:pPr>
        <w:shd w:val="clear" w:color="auto" w:fill="ffffff"/>
        <w:jc w:val="center"/>
        <w:outlineLvl w:val="0"/>
        <w:rPr>
          <w:b/>
          <w:color w:val="auto"/>
          <w:szCs w:val="28"/>
        </w:rPr>
      </w:pPr>
      <w:r>
        <w:rPr>
          <w:b/>
          <w:color w:val="auto"/>
          <w:szCs w:val="28"/>
        </w:rPr>
      </w:r>
      <w:r>
        <w:rPr>
          <w:b/>
          <w:color w:val="auto"/>
          <w:szCs w:val="28"/>
        </w:rPr>
      </w:r>
    </w:p>
    <w:p>
      <w:pPr>
        <w:tabs>
          <w:tab w:val="left" w:pos="3885" w:leader="none"/>
        </w:tabs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1. Федеральная служба по надзору в сфере транспорта объявляет  конкурс </w:t>
      </w:r>
      <w:r>
        <w:rPr>
          <w:color w:val="auto"/>
          <w:szCs w:val="28"/>
        </w:rPr>
        <w:br/>
      </w:r>
      <w:r>
        <w:rPr>
          <w:color w:val="auto"/>
          <w:szCs w:val="28"/>
        </w:rPr>
        <w:t xml:space="preserve">на заключение договора о целевом обучении между Федеральной службой                      по надзору в сфере</w:t>
      </w:r>
      <w:r>
        <w:rPr>
          <w:color w:val="auto"/>
          <w:szCs w:val="28"/>
        </w:rPr>
        <w:t xml:space="preserve"> транспорта и гражданином Российской Федерации                               с обязательством последующего прохождения федеральной государственной гражданской службы </w:t>
      </w:r>
      <w:r>
        <w:rPr>
          <w:color w:val="auto"/>
          <w:szCs w:val="28"/>
        </w:rPr>
        <w:t xml:space="preserve"> (далее – конкурс) по следующим образовательным программам высшего образования:</w:t>
      </w:r>
      <w:r>
        <w:rPr>
          <w:color w:val="auto"/>
          <w:szCs w:val="28"/>
        </w:rPr>
      </w:r>
    </w:p>
    <w:tbl>
      <w:tblPr>
        <w:tblW w:w="10565" w:type="dxa"/>
        <w:tblInd w:w="175" w:type="dxa"/>
        <w:tblLayout w:type="fixed"/>
        <w:tblCellMar>
          <w:left w:w="180" w:type="dxa"/>
          <w:top w:w="225" w:type="dxa"/>
          <w:right w:w="180" w:type="dxa"/>
          <w:bottom w:w="225" w:type="dxa"/>
        </w:tblCellMar>
        <w:tblLook w:val="04A0" w:firstRow="1" w:lastRow="0" w:firstColumn="1" w:lastColumn="0" w:noHBand="0" w:noVBand="1"/>
      </w:tblPr>
      <w:tblGrid>
        <w:gridCol w:w="2639"/>
        <w:gridCol w:w="2439"/>
        <w:gridCol w:w="1667"/>
        <w:gridCol w:w="1977"/>
        <w:gridCol w:w="1843"/>
      </w:tblGrid>
      <w:tr>
        <w:trPr/>
        <w:tblPrEx/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Образовательное учреждение</w:t>
            </w: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Код направления подготовки</w:t>
            </w: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Направление подготовки, форма обучения</w:t>
            </w: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Место расположения рабочего места, которое будет предоставлено</w:t>
            </w:r>
            <w:r>
              <w:rPr>
                <w:b/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гражданину по окончанию обучения</w:t>
            </w:r>
            <w:r>
              <w:rPr>
                <w:b/>
                <w:color w:val="auto"/>
                <w:sz w:val="20"/>
                <w:szCs w:val="20"/>
              </w:rPr>
            </w:r>
          </w:p>
        </w:tc>
      </w:tr>
      <w:tr>
        <w:trPr/>
        <w:tblPrEx/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ФЕДЕРАЛЬНОЕ ГОСУДАРСТВЕННОЕ АВТОНОМНОЕ ОБРАЗОВАТЕЛЬНОЕ УЧРЕЖДЕНИЕ ВЫСШЕГО ОБРАЗОВАНИЯ "РОССИЙСКИЙ УНИВЕРСИТЕТ ТРАНСПОРТА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2.10.05.01 Компьютерная безопасность</w:t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Очное обучение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старшая группа должностей категории «специалисты»</w:t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г. Москва</w:t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</w:tbl>
    <w:p>
      <w:pPr>
        <w:shd w:val="clear" w:color="auto" w:fill="ffffff"/>
        <w:ind w:firstLine="85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tabs>
          <w:tab w:val="left" w:pos="3885" w:leader="none"/>
        </w:tabs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 Порядок представления претендентом, изъявившим желание участвовать </w:t>
      </w:r>
      <w:r>
        <w:rPr>
          <w:color w:val="auto"/>
          <w:szCs w:val="28"/>
        </w:rPr>
        <w:br/>
        <w:t xml:space="preserve">в конкурсе, документов в Федеральную службу по надзору в сфере транспорта.</w:t>
      </w:r>
      <w:r>
        <w:rPr>
          <w:color w:val="auto"/>
          <w:szCs w:val="28"/>
        </w:rPr>
      </w:r>
    </w:p>
    <w:p>
      <w:pPr>
        <w:tabs>
          <w:tab w:val="left" w:pos="3885" w:leader="none"/>
        </w:tabs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Право участвовать в конкурсе по имеющим государственную аккредитацию образовательным программам </w:t>
      </w:r>
      <w:r>
        <w:rPr>
          <w:color w:val="auto"/>
          <w:szCs w:val="28"/>
        </w:rPr>
        <w:t xml:space="preserve">базового </w:t>
      </w:r>
      <w:r>
        <w:rPr>
          <w:color w:val="auto"/>
          <w:szCs w:val="28"/>
        </w:rPr>
        <w:t xml:space="preserve">высшего </w:t>
      </w:r>
      <w:r>
        <w:rPr>
          <w:color w:val="auto"/>
          <w:szCs w:val="28"/>
        </w:rPr>
        <w:t xml:space="preserve">образования </w:t>
      </w:r>
      <w:r>
        <w:rPr>
          <w:color w:val="auto"/>
          <w:szCs w:val="28"/>
        </w:rPr>
        <w:t xml:space="preserve">имеют:</w:t>
      </w:r>
      <w:r>
        <w:rPr>
          <w:color w:val="auto"/>
          <w:szCs w:val="28"/>
        </w:rPr>
      </w:r>
    </w:p>
    <w:p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а) граждане, владеющие государственным языком Российской Федерации;</w:t>
      </w:r>
      <w:r>
        <w:rPr>
          <w:rFonts w:eastAsiaTheme="minorHAnsi"/>
          <w:color w:val="auto"/>
          <w:szCs w:val="28"/>
          <w:lang w:eastAsia="en-US"/>
        </w:rPr>
      </w:r>
    </w:p>
    <w:p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б) 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</w:t>
      </w:r>
      <w:r>
        <w:rPr>
          <w:rFonts w:eastAsiaTheme="minorHAnsi"/>
          <w:color w:val="auto"/>
          <w:szCs w:val="28"/>
          <w:lang w:eastAsia="en-US"/>
        </w:rPr>
        <w:t xml:space="preserve">образовательную деятельность, для получения высшего образования по программам </w:t>
      </w:r>
      <w:r>
        <w:rPr>
          <w:rFonts w:eastAsiaTheme="minorHAnsi"/>
          <w:color w:val="auto"/>
          <w:szCs w:val="28"/>
          <w:lang w:eastAsia="en-US"/>
        </w:rPr>
        <w:t xml:space="preserve">базового высшего образования</w:t>
      </w:r>
      <w:r>
        <w:rPr>
          <w:rFonts w:eastAsiaTheme="minorHAnsi"/>
          <w:color w:val="auto"/>
          <w:szCs w:val="28"/>
          <w:lang w:eastAsia="en-US"/>
        </w:rPr>
        <w:t xml:space="preserve">;</w:t>
      </w:r>
      <w:r>
        <w:rPr>
          <w:rFonts w:eastAsiaTheme="minorHAnsi"/>
          <w:color w:val="auto"/>
          <w:szCs w:val="28"/>
          <w:lang w:eastAsia="en-US"/>
        </w:rPr>
      </w:r>
    </w:p>
    <w:p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в)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r>
        <w:rPr>
          <w:rFonts w:eastAsiaTheme="minorHAnsi"/>
          <w:color w:val="auto"/>
          <w:szCs w:val="28"/>
          <w:lang w:eastAsia="en-US"/>
        </w:rPr>
        <w:t xml:space="preserve">базового высшего образования</w:t>
      </w:r>
      <w:r>
        <w:rPr>
          <w:rFonts w:eastAsiaTheme="minorHAnsi"/>
          <w:color w:val="auto"/>
          <w:szCs w:val="28"/>
          <w:lang w:eastAsia="en-US"/>
        </w:rPr>
        <w:t xml:space="preserve">.</w:t>
      </w:r>
      <w:r>
        <w:rPr>
          <w:rFonts w:eastAsiaTheme="minorHAnsi"/>
          <w:color w:val="auto"/>
          <w:szCs w:val="28"/>
          <w:lang w:eastAsia="en-US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Граждане, поступающие в организации, осуществляющие образовательную деятельность, для получения высшего образования, имеют право на уча</w:t>
      </w:r>
      <w:r>
        <w:rPr>
          <w:color w:val="auto"/>
          <w:szCs w:val="28"/>
        </w:rPr>
        <w:t xml:space="preserve">стие в конкурсе, если </w:t>
      </w:r>
      <w:r>
        <w:rPr>
          <w:color w:val="auto"/>
          <w:szCs w:val="28"/>
        </w:rPr>
        <w:t xml:space="preserve">обучение </w:t>
      </w:r>
      <w:r>
        <w:rPr>
          <w:color w:val="auto"/>
          <w:szCs w:val="28"/>
        </w:rPr>
        <w:t xml:space="preserve">по</w:t>
      </w:r>
      <w:r>
        <w:rPr>
          <w:color w:val="auto"/>
          <w:szCs w:val="28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Гражданин, изъявивший желание участвовать в конкурсе, представляет</w:t>
      </w:r>
      <w:r>
        <w:rPr>
          <w:color w:val="auto"/>
          <w:szCs w:val="28"/>
        </w:rPr>
        <w:br/>
        <w:t xml:space="preserve">в Ространснадзор: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1) заявление об участии в конкурсе в письменной форме на имя руководителя Ространснадзора;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2) заполненную на компьютере и подписанную анкету </w:t>
      </w:r>
      <w:r>
        <w:rPr>
          <w:color w:val="auto"/>
          <w:szCs w:val="28"/>
        </w:rPr>
        <w:br/>
      </w:r>
      <w:hyperlink r:id="rId12" w:tooltip="https://rostrud.gov.ru/rostrud/dokumenty/konkurs2025/Анкета.docx" w:history="1">
        <w:r>
          <w:rPr>
            <w:color w:val="auto"/>
            <w:szCs w:val="28"/>
          </w:rPr>
          <w:t xml:space="preserve">для поступления на государственную службу Российской Федерации </w:t>
        </w:r>
        <w:r>
          <w:rPr>
            <w:color w:val="auto"/>
            <w:szCs w:val="28"/>
          </w:rPr>
          <w:br/>
          <w:t xml:space="preserve">и муниципальную службу в Российской Федерации</w:t>
        </w:r>
      </w:hyperlink>
      <w:r>
        <w:rPr>
          <w:color w:val="auto"/>
          <w:szCs w:val="28"/>
        </w:rPr>
        <w:t xml:space="preserve"> (</w:t>
      </w:r>
      <w:r>
        <w:rPr>
          <w:bCs/>
          <w:szCs w:val="28"/>
        </w:rPr>
        <w:t xml:space="preserve">утверждена</w:t>
      </w:r>
      <w:r>
        <w:rPr>
          <w:bCs/>
          <w:szCs w:val="28"/>
        </w:rPr>
        <w:t xml:space="preserve"> Указом Президента Российской Федерации от 10.10.2024 № 870)</w:t>
      </w:r>
      <w:r>
        <w:rPr>
          <w:color w:val="auto"/>
          <w:szCs w:val="28"/>
        </w:rPr>
        <w:t xml:space="preserve"> с приложением одной фотографии размером 4х6 см;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3) копию паспорта (страницу с персональными данными и страницу,  содержащую информацию о постоянной регистрации гражданина по месту жительства);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</w:t>
      </w:r>
      <w:r>
        <w:rPr>
          <w:color w:val="auto"/>
          <w:szCs w:val="28"/>
        </w:rPr>
        <w:t xml:space="preserve">) заключение медицинской организации, подтверждающее отсутствие</w:t>
      </w:r>
      <w:r>
        <w:rPr>
          <w:color w:val="auto"/>
          <w:szCs w:val="28"/>
        </w:rPr>
        <w:br/>
        <w:t xml:space="preserve">у гражданина заболевания, препятствующего поступлению на гражданскую службу или ее прохождению, по форме, предусмотренной пунктом 4 части 1 статьи </w:t>
      </w:r>
      <w:r>
        <w:rPr>
          <w:color w:val="auto"/>
          <w:szCs w:val="28"/>
        </w:rPr>
        <w:br/>
        <w:t xml:space="preserve">16 Федерального закона «О государственной гражданской службе Российской Федерации» (форма № 001-ГС/у);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5</w:t>
      </w:r>
      <w:r>
        <w:rPr>
          <w:color w:val="auto"/>
          <w:szCs w:val="28"/>
        </w:rPr>
        <w:t xml:space="preserve">) согласие на обработку персональных данных.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Гражданин, не достигший возраста 18 лет, дополнительно представляет </w:t>
      </w:r>
      <w:r>
        <w:rPr>
          <w:color w:val="auto"/>
          <w:szCs w:val="28"/>
        </w:rPr>
        <w:br/>
        <w:t xml:space="preserve">в письменной форме согласие своих родителей (законных представителей) </w:t>
      </w:r>
      <w:r>
        <w:rPr>
          <w:color w:val="auto"/>
          <w:szCs w:val="28"/>
        </w:rPr>
        <w:br/>
      </w:r>
      <w:r>
        <w:rPr>
          <w:color w:val="auto"/>
          <w:szCs w:val="28"/>
        </w:rPr>
        <w:t xml:space="preserve">на участие в конкурсе и согласие на обработку персонал</w:t>
      </w:r>
      <w:r>
        <w:rPr>
          <w:color w:val="auto"/>
          <w:szCs w:val="28"/>
        </w:rPr>
        <w:t xml:space="preserve">ьных данных несовершеннолетнего</w:t>
      </w:r>
      <w:r>
        <w:rPr>
          <w:color w:val="auto"/>
          <w:szCs w:val="28"/>
        </w:rPr>
        <w:t xml:space="preserve">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7) копию аттестата о среднем образовании</w:t>
      </w:r>
      <w:r>
        <w:rPr>
          <w:color w:val="auto"/>
          <w:szCs w:val="28"/>
        </w:rPr>
        <w:t xml:space="preserve">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8) результаты ЕГЭ (соответствующие направлению специальности указанной в заявке на портале «Работа в России»);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9) отклик на размещенную заявку (скриншот) с портала «Работа в России».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Документы принимаются с полном объеме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Ространснадзо</w:t>
      </w:r>
      <w:r>
        <w:rPr>
          <w:color w:val="auto"/>
          <w:szCs w:val="28"/>
        </w:rPr>
        <w:t xml:space="preserve">р гражданином одним из способов лично.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в приеме документов.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При проведении конкурса кандидатам гарантируется равенство прав</w:t>
      </w:r>
      <w:r>
        <w:rPr>
          <w:color w:val="auto"/>
          <w:szCs w:val="28"/>
        </w:rPr>
        <w:br/>
        <w:t xml:space="preserve">в соответствии с Конституцией Российской Федерации и иными федеральными нормативно-правовыми актами.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Цель конкурсного отбора состоит в определении по итогам оценки, проводимой конкурсной комиссией, граждан с которыми будут заключены договоры о целевом обучении с обязательством последующего прохождения федеральной государственной гражданской службы.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Условия прохождения госу</w:t>
      </w:r>
      <w:r>
        <w:rPr>
          <w:color w:val="auto"/>
          <w:szCs w:val="28"/>
        </w:rPr>
        <w:t xml:space="preserve">дарственной гражданской службы определены Федеральным законом от 27 июля 2004 г. № 79-ФЗ «О государственной гражданской службе Российской Федерации» и включают в себя, в том числе, ограничения и запреты, предусмотренные статьями 16 и 17 Федерального закона</w:t>
      </w:r>
      <w:r>
        <w:rPr>
          <w:color w:val="auto"/>
          <w:szCs w:val="28"/>
        </w:rPr>
        <w:br/>
        <w:t xml:space="preserve">«О государственной гражданской службе Российской Федерации», требования</w:t>
      </w:r>
      <w:r>
        <w:rPr>
          <w:color w:val="auto"/>
          <w:szCs w:val="28"/>
        </w:rPr>
        <w:br/>
        <w:t xml:space="preserve">о предотвращении или об урегулировании конфликта интересов и обязанности, установленные Федеральным законом от 25 декабря 2008</w:t>
      </w:r>
      <w:r>
        <w:rPr>
          <w:color w:val="auto"/>
          <w:szCs w:val="28"/>
        </w:rPr>
        <w:t xml:space="preserve"> г. № 273-ФЗ</w:t>
      </w:r>
      <w:r>
        <w:rPr>
          <w:color w:val="auto"/>
          <w:szCs w:val="28"/>
        </w:rPr>
        <w:br/>
        <w:t xml:space="preserve">«О противодействии коррупции» и другими федеральными законами.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Квалификационные требования для замещения должностей, на которые могут быть назначены граждане (гражданские служащие) после окончания обучения: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наличие высшего образования (без предъявления требования к стажу работы); 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обладание базовыми знаниями: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языка Российской Федерации (русского языка);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основ Конституции Российской Федерации, законодательства</w:t>
      </w:r>
      <w:r>
        <w:rPr>
          <w:color w:val="auto"/>
          <w:szCs w:val="28"/>
        </w:rPr>
        <w:br/>
        <w:t xml:space="preserve">о государственной гражданской службе, законодательства о противодействии коррупции;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 области информационно-коммуникацион</w:t>
      </w:r>
      <w:r>
        <w:rPr>
          <w:color w:val="auto"/>
          <w:szCs w:val="28"/>
        </w:rPr>
        <w:t xml:space="preserve">ных технологий: основ информационной безопасности и защиты информации, основных положений законодательства о персональных данных, общих принципов функционирования системы электронного документооборота, знание и умение пользоваться персональным компьютером.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Конкурсная комиссия оценивает кандидатов на основании сведений</w:t>
      </w:r>
      <w:r>
        <w:rPr>
          <w:color w:val="auto"/>
          <w:szCs w:val="28"/>
        </w:rPr>
        <w:br/>
        <w:t xml:space="preserve">об успеваемости и иных сведений, содержащихся в представленных документах кандидатов, а также на основании результатов конкурсных заданий: тестирования и индивидуального собеседования.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Используются следующие критерии оценки результатов выполнения кандидатом конкурсных заданий с выставляемыми по ним баллами: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а) прохождение индивидуального собеседования с </w:t>
      </w:r>
      <w:r>
        <w:rPr>
          <w:color w:val="auto"/>
          <w:szCs w:val="28"/>
        </w:rPr>
        <w:t xml:space="preserve">конкурсной комиссией </w:t>
      </w:r>
      <w:r>
        <w:rPr>
          <w:color w:val="auto"/>
          <w:szCs w:val="28"/>
        </w:rPr>
        <w:br/>
        <w:t xml:space="preserve">(от 0 до </w:t>
      </w:r>
      <w:r>
        <w:rPr>
          <w:color w:val="auto"/>
          <w:szCs w:val="28"/>
        </w:rPr>
        <w:t xml:space="preserve">4</w:t>
      </w:r>
      <w:r>
        <w:rPr>
          <w:color w:val="auto"/>
          <w:szCs w:val="28"/>
        </w:rPr>
        <w:t xml:space="preserve">0 баллов);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б) выполнение теста (от 0 до 10 баллов)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в) мотивационное письмо (от 0 до 10 баллов)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г) успеваемость (от 0 до 10 баллов).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 рамках индивидуального собеседования задаются вопросы, направленные</w:t>
      </w:r>
      <w:r>
        <w:rPr>
          <w:color w:val="auto"/>
          <w:szCs w:val="28"/>
        </w:rPr>
        <w:br/>
        <w:t xml:space="preserve">на оценку способностей и личностных качеств граждан, в том числе гражданских служащих, с которыми будут заключены договоры о целевом обучении</w:t>
      </w:r>
      <w:r>
        <w:rPr>
          <w:color w:val="auto"/>
          <w:szCs w:val="28"/>
        </w:rPr>
        <w:br/>
      </w:r>
      <w:r>
        <w:rPr>
          <w:color w:val="auto"/>
          <w:szCs w:val="28"/>
        </w:rPr>
        <w:t xml:space="preserve">с обязательством последующего прохождения федеральной государственной гражданской службы.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Посредством тестирования оценивается уровень владения кандидатами государственным языком Российской Федерации (русским языком), знаниями </w:t>
      </w:r>
      <w:r>
        <w:rPr>
          <w:color w:val="auto"/>
          <w:szCs w:val="28"/>
        </w:rPr>
        <w:br/>
        <w:t xml:space="preserve">и умениями в сфере информационно-коммуникационных технологий, способностей и личностных качеств кандидата к получению знаний и умений</w:t>
      </w:r>
      <w:r>
        <w:rPr>
          <w:color w:val="auto"/>
          <w:szCs w:val="28"/>
        </w:rPr>
        <w:br/>
        <w:t xml:space="preserve">в соответствующих области и виде деятельности, исходя из квалификационных требований для замещения соответствующих должностей гражданской службы.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Результаты тестирования основываются</w:t>
      </w:r>
      <w:r>
        <w:rPr>
          <w:color w:val="auto"/>
          <w:szCs w:val="28"/>
        </w:rPr>
        <w:br/>
        <w:t xml:space="preserve">на количестве правильных ответов.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Количество баллов, присваиваемых за правильный ответ на каждый вопрос теста, определяется путем деления общего количества баллов, присваиваемых при правильных ответах на все вопросы теста (10 баллов), на количество вопросов </w:t>
      </w:r>
      <w:r>
        <w:rPr>
          <w:color w:val="auto"/>
          <w:szCs w:val="28"/>
        </w:rPr>
        <w:br/>
        <w:t xml:space="preserve">в тесте.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 </w:t>
      </w:r>
      <w:r>
        <w:rPr>
          <w:color w:val="auto"/>
          <w:szCs w:val="28"/>
        </w:rPr>
        <w:t xml:space="preserve">целях</w:t>
      </w:r>
      <w:r>
        <w:rPr>
          <w:color w:val="auto"/>
          <w:szCs w:val="28"/>
        </w:rPr>
        <w:t xml:space="preserve"> мотивации к самоподготовке и повышению профессионального уровня претендента кандидат может пройти предварительный квалификационный тест вне рамок конкурса для самостоятельной оценки своего профессионального уровня.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Тест для самопроверки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</w:t>
      </w:r>
      <w:r>
        <w:rPr>
          <w:color w:val="auto"/>
          <w:szCs w:val="28"/>
        </w:rPr>
        <w:br/>
        <w:t xml:space="preserve">Российской Федерации» в подразделе профессиональное развитие </w:t>
      </w:r>
      <w:r>
        <w:rPr>
          <w:color w:val="auto"/>
          <w:szCs w:val="28"/>
        </w:rPr>
        <w:br/>
        <w:t xml:space="preserve">по ссылке: </w:t>
      </w:r>
      <w:hyperlink r:id="rId13" w:tooltip="https://edu.gossluzhba.gov.ru/test" w:history="1">
        <w:r>
          <w:rPr>
            <w:color w:val="auto"/>
            <w:szCs w:val="28"/>
          </w:rPr>
          <w:t xml:space="preserve">https://edu.gossluzhba.gov.ru/test. </w:t>
        </w:r>
      </w:hyperlink>
      <w:r>
        <w:rPr>
          <w:color w:val="auto"/>
          <w:szCs w:val="28"/>
        </w:rPr>
        <w:t xml:space="preserve">Доступ претендентам для его прохождения предоставляется безвозмездно.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Решение конкурсной комиссии принимается в отсутствие кандидата.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Решение конкурсной комиссии об определении кандидатов, с которыми будут заключены договоры о целевом обучении, принимается открытым голосованием простым большинством голосов ее членов, присутствующих </w:t>
      </w:r>
      <w:r>
        <w:rPr>
          <w:color w:val="auto"/>
          <w:szCs w:val="28"/>
        </w:rPr>
        <w:br/>
        <w:t xml:space="preserve">на заседании.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Решение конкурсной комиссии о заключении с единственным кандидатом </w:t>
      </w:r>
      <w:r>
        <w:rPr>
          <w:color w:val="auto"/>
          <w:szCs w:val="28"/>
        </w:rPr>
        <w:t xml:space="preserve">договора о целевом обучении принимается открытым голосованием простым большинством голосов ее членов, присутствующих на заседании, в случае если данным кандидатом по каждому конкурсному заданию набрано количество баллов, позволяющее считать его пройденным.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Конкурсное задание считается пройденным, если единственным кандидатом набрано 50 и более баллов от максимального балла, выставляемого за его прохождение.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Прием документов для участия в конкурсе проводится </w:t>
      </w:r>
      <w:r>
        <w:rPr>
          <w:color w:val="auto"/>
          <w:szCs w:val="28"/>
        </w:rPr>
        <w:br/>
      </w:r>
      <w:r>
        <w:rPr>
          <w:b/>
          <w:bCs/>
          <w:color w:val="auto"/>
          <w:szCs w:val="28"/>
        </w:rPr>
        <w:t xml:space="preserve">с </w:t>
      </w:r>
      <w:r>
        <w:rPr>
          <w:b/>
          <w:bCs/>
          <w:color w:val="auto"/>
          <w:szCs w:val="28"/>
        </w:rPr>
        <w:t xml:space="preserve">3 июня по </w:t>
      </w:r>
      <w:r>
        <w:rPr>
          <w:b/>
          <w:bCs/>
          <w:color w:val="auto"/>
          <w:szCs w:val="28"/>
        </w:rPr>
        <w:t xml:space="preserve">23 июня 2026</w:t>
      </w:r>
      <w:r>
        <w:rPr>
          <w:b/>
          <w:bCs/>
          <w:color w:val="auto"/>
          <w:szCs w:val="28"/>
        </w:rPr>
        <w:t xml:space="preserve"> года.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Лично по рабочим дням</w:t>
      </w:r>
      <w:r>
        <w:rPr>
          <w:color w:val="auto"/>
          <w:szCs w:val="28"/>
        </w:rPr>
        <w:t xml:space="preserve"> (по предварительной записи)</w:t>
      </w:r>
      <w:r>
        <w:rPr>
          <w:color w:val="auto"/>
          <w:szCs w:val="28"/>
        </w:rPr>
        <w:t xml:space="preserve">: 125167, </w:t>
      </w:r>
      <w:bookmarkStart w:id="0" w:name="_Hlk101346237"/>
      <w:r>
        <w:rPr>
          <w:color w:val="auto"/>
          <w:szCs w:val="28"/>
        </w:rPr>
        <w:t xml:space="preserve">г. Москва, Ленинградский проспект, дом 37, корп. 1, отдел государственной службы и кадров Административного управления Федеральной службы по надзору в сфере транспорта, кабинет № 223. </w:t>
      </w:r>
      <w:bookmarkEnd w:id="0"/>
      <w:r>
        <w:rPr>
          <w:color w:val="auto"/>
          <w:szCs w:val="28"/>
        </w:rPr>
        <w:t xml:space="preserve">Контактный номер телефона: (499) 231-52-81, Гладышева Наталья Радиславовна.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Время приема документов с 10-00 до 12-00 и с 13-00 до 16-00. </w:t>
      </w:r>
      <w:r>
        <w:rPr>
          <w:color w:val="auto"/>
          <w:szCs w:val="28"/>
        </w:rPr>
      </w:r>
    </w:p>
    <w:p>
      <w:pPr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Кандидатам, участвовавшим в конкурсе, сообщается о результатах конкурса</w:t>
      </w:r>
      <w:r>
        <w:rPr>
          <w:color w:val="auto"/>
          <w:szCs w:val="28"/>
        </w:rPr>
        <w:br/>
        <w:t xml:space="preserve">в письменной форме в течение </w:t>
      </w:r>
      <w:r>
        <w:rPr>
          <w:rFonts w:eastAsiaTheme="minorHAnsi"/>
          <w:color w:val="auto"/>
          <w:szCs w:val="28"/>
          <w:lang w:eastAsia="en-US"/>
        </w:rPr>
        <w:t xml:space="preserve">7 календарных дней </w:t>
      </w:r>
      <w:r>
        <w:rPr>
          <w:color w:val="auto"/>
          <w:szCs w:val="28"/>
        </w:rPr>
        <w:t xml:space="preserve">со дня его завершения. 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color w:val="auto"/>
          <w:szCs w:val="28"/>
        </w:rPr>
        <w:t xml:space="preserve">дств св</w:t>
      </w:r>
      <w:r>
        <w:rPr>
          <w:color w:val="auto"/>
          <w:szCs w:val="28"/>
        </w:rPr>
        <w:t xml:space="preserve">язи и другие), осуществляются кандидатами за счет собственных средств.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Информация о дате и месте проведения конкурса будет дополнительно указана в разделе «Государственная служба» официального сайта Ространснадзора </w:t>
      </w:r>
      <w:r>
        <w:rPr>
          <w:color w:val="auto"/>
          <w:szCs w:val="28"/>
          <w:lang w:val="en-US"/>
        </w:rPr>
        <w:t xml:space="preserve">https</w:t>
      </w:r>
      <w:r>
        <w:rPr>
          <w:color w:val="auto"/>
          <w:szCs w:val="28"/>
        </w:rPr>
        <w:t xml:space="preserve">://</w:t>
      </w:r>
      <w:r>
        <w:rPr>
          <w:color w:val="auto"/>
          <w:szCs w:val="28"/>
          <w:lang w:val="en-US"/>
        </w:rPr>
        <w:t xml:space="preserve">rostransnadzor</w:t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  <w:lang w:val="en-US"/>
        </w:rPr>
        <w:t xml:space="preserve">gov</w:t>
      </w:r>
      <w:r>
        <w:rPr>
          <w:color w:val="auto"/>
          <w:szCs w:val="28"/>
        </w:rPr>
        <w:t xml:space="preserve">.</w:t>
      </w:r>
      <w:r>
        <w:rPr>
          <w:color w:val="auto"/>
          <w:szCs w:val="28"/>
          <w:lang w:val="en-US"/>
        </w:rPr>
        <w:t xml:space="preserve">ru</w:t>
      </w:r>
      <w:r>
        <w:rPr>
          <w:color w:val="auto"/>
          <w:szCs w:val="28"/>
        </w:rPr>
        <w:t xml:space="preserve">/.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rPr>
          <w:color w:val="auto"/>
          <w:szCs w:val="28"/>
          <w:u w:val="single"/>
        </w:rPr>
      </w:pPr>
      <w:r>
        <w:rPr>
          <w:color w:val="auto"/>
          <w:szCs w:val="28"/>
          <w:u w:val="single"/>
        </w:rPr>
      </w:r>
      <w:r>
        <w:rPr>
          <w:color w:val="auto"/>
          <w:szCs w:val="28"/>
          <w:u w:val="single"/>
        </w:rPr>
      </w:r>
    </w:p>
    <w:p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r>
        <w:rPr>
          <w:color w:val="auto"/>
          <w:szCs w:val="28"/>
          <w:u w:val="single"/>
        </w:rPr>
        <w:t xml:space="preserve">Образцы и формы документов</w:t>
      </w:r>
      <w:bookmarkStart w:id="1" w:name="_GoBack"/>
      <w:bookmarkEnd w:id="1"/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hyperlink r:id="rId14" w:tooltip="https://rostrud.gov.ru/rostrud/dokumenty/konkurs2025/001GSU.pdf" w:history="1">
        <w:r>
          <w:rPr>
            <w:color w:val="auto"/>
            <w:szCs w:val="28"/>
          </w:rPr>
  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  </w:r>
      </w:hyperlink>
      <w:r>
        <w:rPr>
          <w:color w:val="auto"/>
          <w:szCs w:val="28"/>
        </w:rPr>
        <w:t xml:space="preserve">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hyperlink r:id="rId15" w:tooltip="https://rostrud.gov.ru/rostrud/dokumenty/konkurs2025/Анкета.docx" w:history="1">
        <w:r>
          <w:rPr>
            <w:color w:val="auto"/>
            <w:szCs w:val="28"/>
          </w:rPr>
          <w:t xml:space="preserve">Анкета</w:t>
        </w:r>
      </w:hyperlink>
      <w:r>
        <w:rPr>
          <w:color w:val="auto"/>
          <w:szCs w:val="28"/>
        </w:rPr>
        <w:t xml:space="preserve">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6" w:tooltip="https://rostrud.gov.ru/rostrud/dokumenty/konkurs2025/Заявление%20на%20конкурс.docx" w:history="1">
        <w:r>
          <w:rPr>
            <w:color w:val="auto"/>
            <w:szCs w:val="28"/>
          </w:rPr>
          <w:t xml:space="preserve">Заявление на конкурс</w:t>
        </w:r>
      </w:hyperlink>
      <w:r>
        <w:rPr>
          <w:color w:val="auto"/>
          <w:szCs w:val="28"/>
        </w:rPr>
        <w:t xml:space="preserve">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7" w:tooltip="https://rostrud.gov.ru/rostrud/dokumenty/konkurs2025/Заявление%20на%20конкурс%20(государственный%20служащий).docx" w:history="1">
        <w:r>
          <w:rPr>
            <w:color w:val="auto"/>
            <w:szCs w:val="28"/>
          </w:rPr>
          <w:t xml:space="preserve">Заявление на конкурс (государственный служащий)</w:t>
        </w:r>
      </w:hyperlink>
      <w:r>
        <w:rPr>
          <w:color w:val="auto"/>
          <w:szCs w:val="28"/>
        </w:rPr>
        <w:t xml:space="preserve">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8" w:tooltip="https://rostrud.gov.ru/rostrud/dokumenty/konkurs2025/Образец%20заполнения%20анкеты%20870.pdf" w:history="1">
        <w:r>
          <w:rPr>
            <w:color w:val="auto"/>
            <w:szCs w:val="28"/>
          </w:rPr>
          <w:t xml:space="preserve">Образец заполнения Анкеты</w:t>
        </w:r>
      </w:hyperlink>
      <w:r>
        <w:rPr>
          <w:color w:val="auto"/>
          <w:szCs w:val="28"/>
        </w:rPr>
        <w:t xml:space="preserve">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9" w:tooltip="https://rostrud.gov.ru/rostrud/dokumenty/konkurs2025/Согласие%20на%20обработку%20персональных%20данных%20(для%20совершеннолетних).docx" w:history="1">
        <w:r>
          <w:rPr>
            <w:color w:val="auto"/>
            <w:szCs w:val="28"/>
          </w:rPr>
          <w:t xml:space="preserve">Согласие на обработку персональных данных (для совершеннолетних)</w:t>
        </w:r>
      </w:hyperlink>
      <w:r>
        <w:rPr>
          <w:color w:val="auto"/>
          <w:szCs w:val="28"/>
        </w:rPr>
        <w:t xml:space="preserve">;</w:t>
      </w:r>
      <w:r>
        <w:rPr>
          <w:color w:val="auto"/>
          <w:szCs w:val="28"/>
        </w:rPr>
      </w:r>
    </w:p>
    <w:p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20" w:tooltip="https://rostrud.gov.ru/rostrud/dokumenty/konkurs2025/Согласие%20родителя%20на%20участие%20в%20конкурсе%20и%20обработку%20персональных%20данных.docx" w:history="1">
        <w:r>
          <w:rPr>
            <w:color w:val="auto"/>
            <w:szCs w:val="28"/>
          </w:rPr>
          <w:t xml:space="preserve">Согласие родителя на участие в конкурсе и обработку персональных данных</w:t>
        </w:r>
      </w:hyperlink>
      <w:r>
        <w:rPr>
          <w:color w:val="auto"/>
          <w:szCs w:val="28"/>
        </w:rPr>
        <w:t xml:space="preserve">.</w:t>
      </w:r>
      <w:r>
        <w:rPr>
          <w:color w:val="auto"/>
          <w:szCs w:val="28"/>
        </w:rPr>
      </w:r>
    </w:p>
    <w:p>
      <w:pPr>
        <w:spacing w:line="360" w:lineRule="auto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</w:r>
      <w:r>
        <w:rPr>
          <w:b/>
          <w:color w:val="auto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851" w:right="567" w:bottom="851" w:left="1134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Segoe UI">
    <w:panose1 w:val="020B0502040504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49927523"/>
      <w:docPartObj>
        <w:docPartGallery w:val="Page Numbers (Top of Page)"/>
        <w:docPartUnique w:val="true"/>
      </w:docPartObj>
      <w:rPr/>
    </w:sdtPr>
    <w:sdtContent>
      <w:p>
        <w:pPr>
          <w:pStyle w:val="729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7</w:t>
        </w:r>
        <w:r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</w:r>
      </w:p>
    </w:sdtContent>
  </w:sdt>
  <w:p>
    <w:pPr>
      <w:pStyle w:val="72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7"/>
    <w:next w:val="69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7"/>
    <w:next w:val="69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7"/>
    <w:next w:val="69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7"/>
    <w:next w:val="69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7"/>
    <w:next w:val="69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7"/>
    <w:next w:val="69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7"/>
    <w:next w:val="69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7"/>
    <w:next w:val="69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7"/>
    <w:next w:val="69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98"/>
    <w:link w:val="34"/>
    <w:uiPriority w:val="10"/>
    <w:rPr>
      <w:sz w:val="48"/>
      <w:szCs w:val="48"/>
    </w:rPr>
  </w:style>
  <w:style w:type="paragraph" w:styleId="36">
    <w:name w:val="Subtitle"/>
    <w:basedOn w:val="697"/>
    <w:next w:val="69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8"/>
    <w:link w:val="36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8"/>
    <w:link w:val="729"/>
    <w:uiPriority w:val="99"/>
  </w:style>
  <w:style w:type="character" w:styleId="45">
    <w:name w:val="Footer Char"/>
    <w:basedOn w:val="698"/>
    <w:link w:val="730"/>
    <w:uiPriority w:val="99"/>
  </w:style>
  <w:style w:type="character" w:styleId="47">
    <w:name w:val="Caption Char"/>
    <w:basedOn w:val="698"/>
    <w:link w:val="720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8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8"/>
    <w:uiPriority w:val="99"/>
    <w:semiHidden/>
    <w:unhideWhenUsed/>
    <w:rPr>
      <w:vertAlign w:val="superscript"/>
    </w:rPr>
  </w:style>
  <w:style w:type="paragraph" w:styleId="181">
    <w:name w:val="toc 1"/>
    <w:basedOn w:val="697"/>
    <w:next w:val="69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97"/>
    <w:next w:val="69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97"/>
    <w:next w:val="69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97"/>
    <w:next w:val="69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97"/>
    <w:next w:val="69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97"/>
    <w:next w:val="69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97"/>
    <w:next w:val="69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97"/>
    <w:next w:val="69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97"/>
    <w:next w:val="69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qFormat/>
    <w:rPr>
      <w:rFonts w:ascii="Times New Roman" w:hAnsi="Times New Roman" w:eastAsia="Times New Roman" w:cs="Times New Roman"/>
      <w:color w:val="000000"/>
      <w:sz w:val="28"/>
      <w:szCs w:val="24"/>
      <w:lang w:eastAsia="ru-RU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Абзац списка Знак"/>
    <w:link w:val="722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2" w:customStyle="1">
    <w:name w:val="Doc-Т внутри нумерации Знак"/>
    <w:link w:val="726"/>
    <w:uiPriority w:val="99"/>
    <w:qFormat/>
  </w:style>
  <w:style w:type="character" w:styleId="703">
    <w:name w:val="Hyperlink"/>
    <w:basedOn w:val="698"/>
    <w:uiPriority w:val="99"/>
    <w:unhideWhenUsed/>
    <w:rPr>
      <w:color w:val="0563c1" w:themeColor="hyperlink"/>
      <w:u w:val="single"/>
    </w:rPr>
  </w:style>
  <w:style w:type="character" w:styleId="704">
    <w:name w:val="Emphasis"/>
    <w:basedOn w:val="698"/>
    <w:uiPriority w:val="20"/>
    <w:qFormat/>
    <w:rPr>
      <w:i/>
      <w:iCs/>
    </w:rPr>
  </w:style>
  <w:style w:type="character" w:styleId="705" w:customStyle="1">
    <w:name w:val="Верхний колонтитул Знак"/>
    <w:basedOn w:val="698"/>
    <w:link w:val="729"/>
    <w:uiPriority w:val="99"/>
    <w:qFormat/>
    <w:rPr>
      <w:rFonts w:ascii="Times New Roman" w:hAnsi="Times New Roman" w:eastAsia="Times New Roman" w:cs="Times New Roman"/>
      <w:color w:val="000000"/>
      <w:sz w:val="28"/>
      <w:szCs w:val="24"/>
      <w:lang w:eastAsia="ru-RU"/>
    </w:rPr>
  </w:style>
  <w:style w:type="character" w:styleId="706" w:customStyle="1">
    <w:name w:val="Нижний колонтитул Знак"/>
    <w:basedOn w:val="698"/>
    <w:link w:val="730"/>
    <w:uiPriority w:val="99"/>
    <w:qFormat/>
    <w:rPr>
      <w:rFonts w:ascii="Times New Roman" w:hAnsi="Times New Roman" w:eastAsia="Times New Roman" w:cs="Times New Roman"/>
      <w:color w:val="000000"/>
      <w:sz w:val="28"/>
      <w:szCs w:val="24"/>
      <w:lang w:eastAsia="ru-RU"/>
    </w:rPr>
  </w:style>
  <w:style w:type="character" w:styleId="707" w:customStyle="1">
    <w:name w:val="Font Style19"/>
    <w:uiPriority w:val="99"/>
    <w:qFormat/>
    <w:rPr>
      <w:rFonts w:ascii="Times New Roman" w:hAnsi="Times New Roman" w:cs="Times New Roman"/>
      <w:sz w:val="26"/>
      <w:szCs w:val="26"/>
    </w:rPr>
  </w:style>
  <w:style w:type="character" w:styleId="708" w:customStyle="1">
    <w:name w:val="Font Style53"/>
    <w:uiPriority w:val="99"/>
    <w:qFormat/>
    <w:rPr>
      <w:rFonts w:ascii="Times New Roman" w:hAnsi="Times New Roman" w:cs="Times New Roman"/>
      <w:sz w:val="28"/>
      <w:szCs w:val="28"/>
    </w:rPr>
  </w:style>
  <w:style w:type="character" w:styleId="709" w:customStyle="1">
    <w:name w:val="Font Style17"/>
    <w:basedOn w:val="698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styleId="710" w:customStyle="1">
    <w:name w:val="Font Style24"/>
    <w:uiPriority w:val="99"/>
    <w:qFormat/>
    <w:rPr>
      <w:rFonts w:ascii="Times New Roman" w:hAnsi="Times New Roman" w:cs="Times New Roman"/>
      <w:sz w:val="26"/>
      <w:szCs w:val="26"/>
    </w:rPr>
  </w:style>
  <w:style w:type="character" w:styleId="711" w:customStyle="1">
    <w:name w:val="Основной текст_"/>
    <w:basedOn w:val="698"/>
    <w:link w:val="735"/>
    <w:qFormat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712" w:customStyle="1">
    <w:name w:val="Font Style22"/>
    <w:qFormat/>
    <w:rPr>
      <w:rFonts w:ascii="Times New Roman" w:hAnsi="Times New Roman" w:cs="Times New Roman"/>
      <w:sz w:val="26"/>
      <w:szCs w:val="26"/>
    </w:rPr>
  </w:style>
  <w:style w:type="character" w:styleId="713" w:customStyle="1">
    <w:name w:val="Текст выноски Знак"/>
    <w:basedOn w:val="698"/>
    <w:link w:val="736"/>
    <w:uiPriority w:val="99"/>
    <w:semiHidden/>
    <w:qFormat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714" w:customStyle="1">
    <w:name w:val="Font Style16"/>
    <w:basedOn w:val="698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715" w:customStyle="1">
    <w:name w:val="Font Style18"/>
    <w:basedOn w:val="698"/>
    <w:uiPriority w:val="99"/>
    <w:qFormat/>
    <w:rPr>
      <w:rFonts w:ascii="Times New Roman" w:hAnsi="Times New Roman" w:cs="Times New Roman"/>
      <w:sz w:val="24"/>
      <w:szCs w:val="24"/>
    </w:rPr>
  </w:style>
  <w:style w:type="character" w:styleId="716" w:customStyle="1">
    <w:name w:val="Основной текст Знак"/>
    <w:basedOn w:val="698"/>
    <w:link w:val="718"/>
    <w:uiPriority w:val="1"/>
    <w:qFormat/>
    <w:rPr>
      <w:rFonts w:ascii="Times New Roman" w:hAnsi="Times New Roman" w:eastAsia="Times New Roman" w:cs="Times New Roman"/>
      <w:sz w:val="27"/>
      <w:szCs w:val="27"/>
    </w:rPr>
  </w:style>
  <w:style w:type="paragraph" w:styleId="717" w:customStyle="1">
    <w:name w:val="Заголовок"/>
    <w:basedOn w:val="697"/>
    <w:next w:val="718"/>
    <w:qFormat/>
    <w:pPr>
      <w:keepNext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718">
    <w:name w:val="Body Text"/>
    <w:basedOn w:val="697"/>
    <w:link w:val="716"/>
    <w:uiPriority w:val="1"/>
    <w:qFormat/>
    <w:pPr>
      <w:widowControl w:val="off"/>
      <w:jc w:val="both"/>
    </w:pPr>
    <w:rPr>
      <w:color w:val="auto"/>
      <w:sz w:val="27"/>
      <w:szCs w:val="27"/>
      <w:lang w:eastAsia="en-US"/>
    </w:rPr>
  </w:style>
  <w:style w:type="paragraph" w:styleId="719">
    <w:name w:val="List"/>
    <w:basedOn w:val="718"/>
    <w:rPr>
      <w:rFonts w:cs="Arial"/>
    </w:rPr>
  </w:style>
  <w:style w:type="paragraph" w:styleId="720">
    <w:name w:val="Caption"/>
    <w:basedOn w:val="697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721">
    <w:name w:val="index heading"/>
    <w:basedOn w:val="697"/>
    <w:qFormat/>
    <w:pPr>
      <w:suppressLineNumbers/>
    </w:pPr>
    <w:rPr>
      <w:rFonts w:cs="Arial"/>
    </w:rPr>
  </w:style>
  <w:style w:type="paragraph" w:styleId="722">
    <w:name w:val="List Paragraph"/>
    <w:basedOn w:val="697"/>
    <w:link w:val="701"/>
    <w:uiPriority w:val="34"/>
    <w:qFormat/>
    <w:pPr>
      <w:ind w:left="720"/>
      <w:contextualSpacing/>
    </w:pPr>
    <w:rPr>
      <w:color w:val="auto"/>
      <w:sz w:val="24"/>
    </w:rPr>
  </w:style>
  <w:style w:type="paragraph" w:styleId="723">
    <w:name w:val="Normal (Web)"/>
    <w:basedOn w:val="697"/>
    <w:unhideWhenUsed/>
    <w:qFormat/>
    <w:pPr>
      <w:spacing w:beforeAutospacing="1" w:afterAutospacing="1"/>
    </w:pPr>
    <w:rPr>
      <w:color w:val="auto"/>
      <w:sz w:val="24"/>
    </w:rPr>
  </w:style>
  <w:style w:type="paragraph" w:styleId="724" w:customStyle="1">
    <w:name w:val="ConsPlusNormal"/>
    <w:qFormat/>
    <w:pPr>
      <w:widowControl w:val="off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725" w:customStyle="1">
    <w:name w:val="ConsPlusTitle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726" w:customStyle="1">
    <w:name w:val="Doc-Т внутри нумерации"/>
    <w:basedOn w:val="697"/>
    <w:link w:val="702"/>
    <w:uiPriority w:val="99"/>
    <w:qFormat/>
    <w:pPr>
      <w:spacing w:line="360" w:lineRule="auto"/>
      <w:ind w:left="720" w:firstLine="709"/>
      <w:jc w:val="both"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paragraph" w:styleId="727" w:customStyle="1">
    <w:name w:val="Абзац списка1"/>
    <w:basedOn w:val="697"/>
    <w:qFormat/>
    <w:pPr>
      <w:spacing w:after="200" w:line="276" w:lineRule="auto"/>
      <w:ind w:left="720"/>
      <w:contextualSpacing/>
      <w:jc w:val="both"/>
    </w:pPr>
    <w:rPr>
      <w:rFonts w:ascii="Calibri" w:hAnsi="Calibri" w:eastAsia="Calibri"/>
      <w:color w:val="auto"/>
      <w:sz w:val="22"/>
      <w:szCs w:val="22"/>
    </w:rPr>
  </w:style>
  <w:style w:type="paragraph" w:styleId="728" w:customStyle="1">
    <w:name w:val="Header and Footer"/>
    <w:basedOn w:val="697"/>
    <w:qFormat/>
  </w:style>
  <w:style w:type="paragraph" w:styleId="729">
    <w:name w:val="Header"/>
    <w:basedOn w:val="697"/>
    <w:link w:val="70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30">
    <w:name w:val="Footer"/>
    <w:basedOn w:val="697"/>
    <w:link w:val="70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31" w:customStyle="1">
    <w:name w:val="Style13"/>
    <w:basedOn w:val="697"/>
    <w:uiPriority w:val="99"/>
    <w:qFormat/>
    <w:pPr>
      <w:widowControl w:val="off"/>
      <w:spacing w:line="457" w:lineRule="exact"/>
      <w:ind w:firstLine="490"/>
      <w:jc w:val="both"/>
    </w:pPr>
    <w:rPr>
      <w:color w:val="auto"/>
      <w:sz w:val="24"/>
    </w:rPr>
  </w:style>
  <w:style w:type="paragraph" w:styleId="732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33" w:customStyle="1">
    <w:name w:val="Style11"/>
    <w:basedOn w:val="697"/>
    <w:uiPriority w:val="99"/>
    <w:qFormat/>
    <w:pPr>
      <w:widowControl w:val="off"/>
      <w:spacing w:line="398" w:lineRule="exact"/>
      <w:ind w:firstLine="701"/>
      <w:jc w:val="both"/>
    </w:pPr>
    <w:rPr>
      <w:rFonts w:eastAsiaTheme="minorEastAsia"/>
      <w:color w:val="auto"/>
      <w:sz w:val="24"/>
    </w:rPr>
  </w:style>
  <w:style w:type="paragraph" w:styleId="734" w:customStyle="1">
    <w:name w:val="Style14"/>
    <w:basedOn w:val="697"/>
    <w:uiPriority w:val="99"/>
    <w:qFormat/>
    <w:pPr>
      <w:widowControl w:val="off"/>
      <w:spacing w:line="454" w:lineRule="exact"/>
      <w:ind w:firstLine="1094"/>
      <w:jc w:val="both"/>
    </w:pPr>
    <w:rPr>
      <w:rFonts w:eastAsiaTheme="minorEastAsia"/>
      <w:color w:val="auto"/>
      <w:sz w:val="24"/>
    </w:rPr>
  </w:style>
  <w:style w:type="paragraph" w:styleId="735" w:customStyle="1">
    <w:name w:val="Основной текст1"/>
    <w:basedOn w:val="697"/>
    <w:link w:val="711"/>
    <w:qFormat/>
    <w:pPr>
      <w:widowControl w:val="off"/>
      <w:shd w:val="clear" w:color="auto" w:fill="ffffff"/>
      <w:spacing w:line="360" w:lineRule="auto"/>
      <w:ind w:firstLine="400"/>
    </w:pPr>
    <w:rPr>
      <w:color w:val="auto"/>
      <w:szCs w:val="28"/>
      <w:lang w:eastAsia="en-US"/>
    </w:rPr>
  </w:style>
  <w:style w:type="paragraph" w:styleId="736">
    <w:name w:val="Balloon Text"/>
    <w:basedOn w:val="697"/>
    <w:link w:val="713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737" w:customStyle="1">
    <w:name w:val="Style6"/>
    <w:basedOn w:val="697"/>
    <w:uiPriority w:val="99"/>
    <w:qFormat/>
    <w:pPr>
      <w:widowControl w:val="off"/>
      <w:spacing w:line="301" w:lineRule="exact"/>
      <w:jc w:val="center"/>
    </w:pPr>
    <w:rPr>
      <w:rFonts w:eastAsiaTheme="minorEastAsia"/>
      <w:color w:val="auto"/>
      <w:sz w:val="24"/>
    </w:rPr>
  </w:style>
  <w:style w:type="paragraph" w:styleId="738" w:customStyle="1">
    <w:name w:val="Style3"/>
    <w:basedOn w:val="697"/>
    <w:uiPriority w:val="99"/>
    <w:qFormat/>
    <w:pPr>
      <w:widowControl w:val="off"/>
      <w:spacing w:line="328" w:lineRule="exact"/>
      <w:jc w:val="center"/>
    </w:pPr>
    <w:rPr>
      <w:rFonts w:eastAsiaTheme="minorEastAsia"/>
      <w:color w:val="auto"/>
      <w:sz w:val="24"/>
    </w:rPr>
  </w:style>
  <w:style w:type="paragraph" w:styleId="739" w:customStyle="1">
    <w:name w:val="Style7"/>
    <w:basedOn w:val="697"/>
    <w:uiPriority w:val="99"/>
    <w:qFormat/>
    <w:pPr>
      <w:widowControl w:val="off"/>
      <w:spacing w:line="485" w:lineRule="exact"/>
      <w:ind w:firstLine="734"/>
      <w:jc w:val="both"/>
    </w:pPr>
    <w:rPr>
      <w:rFonts w:eastAsiaTheme="minorEastAsia"/>
      <w:color w:val="auto"/>
      <w:sz w:val="24"/>
    </w:rPr>
  </w:style>
  <w:style w:type="paragraph" w:styleId="740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</w:rPr>
  </w:style>
  <w:style w:type="paragraph" w:styleId="741" w:customStyle="1">
    <w:name w:val="Style2"/>
    <w:basedOn w:val="697"/>
    <w:uiPriority w:val="99"/>
    <w:qFormat/>
    <w:pPr>
      <w:widowControl w:val="off"/>
    </w:pPr>
    <w:rPr>
      <w:rFonts w:eastAsiaTheme="minorEastAsia"/>
      <w:color w:val="auto"/>
      <w:sz w:val="24"/>
    </w:rPr>
  </w:style>
  <w:style w:type="paragraph" w:styleId="742" w:customStyle="1">
    <w:name w:val="Цветовое выделение"/>
    <w:qFormat/>
    <w:pPr>
      <w:spacing w:after="200" w:line="276" w:lineRule="auto"/>
    </w:pPr>
    <w:rPr>
      <w:rFonts w:ascii="Calibri" w:hAnsi="Calibri" w:eastAsia="Times New Roman" w:cs="Times New Roman"/>
      <w:b/>
      <w:color w:val="26282f"/>
      <w:szCs w:val="20"/>
      <w:lang w:eastAsia="ru-RU"/>
    </w:rPr>
  </w:style>
  <w:style w:type="paragraph" w:styleId="743" w:customStyle="1">
    <w:name w:val="Таблицы (моноширинный)"/>
    <w:basedOn w:val="697"/>
    <w:next w:val="697"/>
    <w:qFormat/>
    <w:pPr>
      <w:widowControl w:val="off"/>
    </w:pPr>
    <w:rPr>
      <w:rFonts w:ascii="Courier New" w:hAnsi="Courier New"/>
      <w:sz w:val="24"/>
      <w:szCs w:val="20"/>
    </w:rPr>
  </w:style>
  <w:style w:type="numbering" w:styleId="744" w:customStyle="1">
    <w:name w:val="Без списка"/>
    <w:uiPriority w:val="99"/>
    <w:semiHidden/>
    <w:unhideWhenUsed/>
    <w:qFormat/>
  </w:style>
  <w:style w:type="table" w:styleId="745">
    <w:name w:val="Table Grid"/>
    <w:basedOn w:val="699"/>
    <w:uiPriority w:val="59"/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hyperlink" Target="https://rostrud.gov.ru/rostrud/dokumenty/konkurs2025/&#1040;&#1085;&#1082;&#1077;&#1090;&#1072;.docx" TargetMode="External"/><Relationship Id="rId13" Type="http://schemas.openxmlformats.org/officeDocument/2006/relationships/hyperlink" Target="https://edu.gossluzhba.gov.ru/test" TargetMode="External"/><Relationship Id="rId14" Type="http://schemas.openxmlformats.org/officeDocument/2006/relationships/hyperlink" Target="https://rostrud.gov.ru/rostrud/dokumenty/konkurs2025/001GSU.pdf" TargetMode="External"/><Relationship Id="rId15" Type="http://schemas.openxmlformats.org/officeDocument/2006/relationships/hyperlink" Target="https://rostrud.gov.ru/rostrud/dokumenty/konkurs2025/&#1040;&#1085;&#1082;&#1077;&#1090;&#1072;.docx" TargetMode="External"/><Relationship Id="rId16" Type="http://schemas.openxmlformats.org/officeDocument/2006/relationships/hyperlink" Target="https://rostrud.gov.ru/rostrud/dokumenty/konkurs2025/&#1047;&#1072;&#1103;&#1074;&#1083;&#1077;&#1085;&#1080;&#1077;%20&#1085;&#1072;%20&#1082;&#1086;&#1085;&#1082;&#1091;&#1088;&#1089;.docx" TargetMode="External"/><Relationship Id="rId17" Type="http://schemas.openxmlformats.org/officeDocument/2006/relationships/hyperlink" Target="https://rostrud.gov.ru/rostrud/dokumenty/konkurs2025/&#1047;&#1072;&#1103;&#1074;&#1083;&#1077;&#1085;&#1080;&#1077;%20&#1085;&#1072;%20&#1082;&#1086;&#1085;&#1082;&#1091;&#1088;&#1089;%20(&#1075;&#1086;&#1089;&#1091;&#1076;&#1072;&#1088;&#1089;&#1090;&#1074;&#1077;&#1085;&#1085;&#1099;&#1080;&#774;%20&#1089;&#1083;&#1091;&#1078;&#1072;&#1097;&#1080;&#1080;&#774;).docx" TargetMode="External"/><Relationship Id="rId18" Type="http://schemas.openxmlformats.org/officeDocument/2006/relationships/hyperlink" Target="https://rostrud.gov.ru/rostrud/dokumenty/konkurs2025/&#1054;&#1073;&#1088;&#1072;&#1079;&#1077;&#1094;%20&#1079;&#1072;&#1087;&#1086;&#1083;&#1085;&#1077;&#1085;&#1080;&#1103;%20&#1072;&#1085;&#1082;&#1077;&#1090;&#1099;%20870.pdf" TargetMode="External"/><Relationship Id="rId19" Type="http://schemas.openxmlformats.org/officeDocument/2006/relationships/hyperlink" Target="https://rostrud.gov.ru/rostrud/dokumenty/konkurs2025/&#1057;&#1086;&#1075;&#1083;&#1072;&#1089;&#1080;&#1077;%20&#1085;&#1072;%20&#1086;&#1073;&#1088;&#1072;&#1073;&#1086;&#1090;&#1082;&#1091;%20&#1087;&#1077;&#1088;&#1089;&#1086;&#1085;&#1072;&#1083;&#1100;&#1085;&#1099;&#1093;%20&#1076;&#1072;&#1085;&#1085;&#1099;&#1093;%20(&#1076;&#1083;&#1103;%20&#1089;&#1086;&#1074;&#1077;&#1088;&#1096;&#1077;&#1085;&#1085;&#1086;&#1083;&#1077;&#1090;&#1085;&#1080;&#1093;).docx" TargetMode="External"/><Relationship Id="rId20" Type="http://schemas.openxmlformats.org/officeDocument/2006/relationships/hyperlink" Target="https://rostrud.gov.ru/rostrud/dokumenty/konkurs2025/&#1057;&#1086;&#1075;&#1083;&#1072;&#1089;&#1080;&#1077;%20&#1088;&#1086;&#1076;&#1080;&#1090;&#1077;&#1083;&#1103;%20&#1085;&#1072;%20&#1091;&#1095;&#1072;&#1089;&#1090;&#1080;&#1077;%20&#1074;%20&#1082;&#1086;&#1085;&#1082;&#1091;&#1088;&#1089;&#1077;%20&#1080;%20&#1086;&#1073;&#1088;&#1072;&#1073;&#1086;&#1090;&#1082;&#1091;%20&#1087;&#1077;&#1088;&#1089;&#1086;&#1085;&#1072;&#1083;&#1100;&#1085;&#1099;&#1093;%20&#1076;&#1072;&#1085;&#1085;&#1099;&#1093;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0A8BB-A1CD-47DF-9693-66F54E7F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Горяченко Ольга Юрьевна</dc:creator>
  <dc:language>ru-RU</dc:language>
  <cp:lastModifiedBy>timakova_aa</cp:lastModifiedBy>
  <cp:revision>6</cp:revision>
  <dcterms:created xsi:type="dcterms:W3CDTF">2026-06-02T12:35:00Z</dcterms:created>
  <dcterms:modified xsi:type="dcterms:W3CDTF">2026-06-03T14:16:51Z</dcterms:modified>
</cp:coreProperties>
</file>